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8033" w14:textId="6BEA02C6" w:rsidR="00B84D82" w:rsidRPr="00830805" w:rsidRDefault="00B84D82" w:rsidP="00830805">
      <w:pPr>
        <w:pStyle w:val="HeaderTab"/>
      </w:pPr>
      <w:r w:rsidRPr="00830805">
        <w:t>Award recommendation and evaluation synops</w:t>
      </w:r>
      <w:r w:rsidR="00854FCD">
        <w:t>i</w:t>
      </w:r>
      <w:r w:rsidRPr="00830805">
        <w:t>s – Invitation to negotiate (ITN)</w:t>
      </w:r>
    </w:p>
    <w:p w14:paraId="7EC49C4A" w14:textId="77777777" w:rsidR="00B84D82" w:rsidRPr="0034081F" w:rsidRDefault="00B84D82" w:rsidP="00C57DB8">
      <w:pPr>
        <w:spacing w:after="120"/>
        <w:rPr>
          <w:rFonts w:asciiTheme="minorHAnsi" w:eastAsia="Calibri" w:hAnsiTheme="minorHAnsi" w:cs="Arial"/>
          <w:b/>
          <w:sz w:val="22"/>
          <w:szCs w:val="22"/>
        </w:rPr>
      </w:pPr>
      <w:r w:rsidRPr="0034081F">
        <w:rPr>
          <w:rFonts w:asciiTheme="minorHAnsi" w:eastAsia="Calibri" w:hAnsiTheme="minorHAnsi" w:cs="Arial"/>
          <w:b/>
          <w:sz w:val="22"/>
          <w:szCs w:val="22"/>
        </w:rPr>
        <w:t>Background Information:</w:t>
      </w:r>
    </w:p>
    <w:p w14:paraId="4F48FE8E" w14:textId="5337B869" w:rsidR="00B84D82" w:rsidRPr="0034081F" w:rsidRDefault="00B84D82" w:rsidP="00C57DB8">
      <w:pPr>
        <w:spacing w:after="120"/>
        <w:rPr>
          <w:rFonts w:asciiTheme="minorHAnsi" w:eastAsia="Calibri" w:hAnsiTheme="minorHAnsi" w:cs="Arial"/>
          <w:sz w:val="22"/>
          <w:szCs w:val="22"/>
        </w:rPr>
      </w:pPr>
      <w:r w:rsidRPr="0034081F">
        <w:rPr>
          <w:rFonts w:asciiTheme="minorHAnsi" w:eastAsia="Calibri" w:hAnsiTheme="minorHAnsi" w:cs="Arial"/>
          <w:sz w:val="22"/>
          <w:szCs w:val="22"/>
        </w:rPr>
        <w:t xml:space="preserve">This ITN </w:t>
      </w:r>
      <w:r w:rsidR="003C5FFB">
        <w:rPr>
          <w:rFonts w:asciiTheme="minorHAnsi" w:eastAsia="Calibri" w:hAnsiTheme="minorHAnsi" w:cs="Arial"/>
          <w:sz w:val="22"/>
        </w:rPr>
        <w:t xml:space="preserve">260000000022 for food trays </w:t>
      </w:r>
      <w:r w:rsidRPr="0034081F">
        <w:rPr>
          <w:rFonts w:asciiTheme="minorHAnsi" w:eastAsia="Calibri" w:hAnsiTheme="minorHAnsi" w:cs="Arial"/>
          <w:sz w:val="22"/>
          <w:szCs w:val="22"/>
        </w:rPr>
        <w:t>was undertaken by the</w:t>
      </w:r>
      <w:r w:rsidR="003C5FFB" w:rsidRPr="00DC0746">
        <w:rPr>
          <w:rFonts w:asciiTheme="minorHAnsi" w:eastAsia="Calibri" w:hAnsiTheme="minorHAnsi" w:cs="Arial"/>
          <w:sz w:val="22"/>
        </w:rPr>
        <w:t xml:space="preserve"> </w:t>
      </w:r>
      <w:r w:rsidR="003C5FFB">
        <w:rPr>
          <w:rFonts w:asciiTheme="minorHAnsi" w:eastAsia="Calibri" w:hAnsiTheme="minorHAnsi" w:cs="Arial"/>
          <w:sz w:val="22"/>
        </w:rPr>
        <w:t>Michigan Department of Corrections Procurement</w:t>
      </w:r>
      <w:r w:rsidRPr="0034081F">
        <w:rPr>
          <w:rFonts w:asciiTheme="minorHAnsi" w:eastAsia="Calibri" w:hAnsiTheme="minorHAnsi" w:cs="Arial"/>
          <w:sz w:val="22"/>
          <w:szCs w:val="22"/>
        </w:rPr>
        <w:t xml:space="preserve"> office to advise contractors of the State’s desire to purchase </w:t>
      </w:r>
      <w:r w:rsidR="003C5FFB">
        <w:rPr>
          <w:rFonts w:asciiTheme="minorHAnsi" w:eastAsia="Calibri" w:hAnsiTheme="minorHAnsi" w:cs="Arial"/>
          <w:sz w:val="22"/>
        </w:rPr>
        <w:t>Aladdin Temp Rite food trays</w:t>
      </w:r>
      <w:r w:rsidRPr="0034081F">
        <w:rPr>
          <w:rFonts w:asciiTheme="minorHAnsi" w:eastAsia="Calibri" w:hAnsiTheme="minorHAnsi" w:cs="Arial"/>
          <w:sz w:val="22"/>
          <w:szCs w:val="22"/>
        </w:rPr>
        <w:t xml:space="preserve">, and intention to enter into negotiations and execute a contract based on its belief that only one contractor – </w:t>
      </w:r>
      <w:r w:rsidR="003C5FFB">
        <w:rPr>
          <w:rFonts w:asciiTheme="minorHAnsi" w:eastAsia="Calibri" w:hAnsiTheme="minorHAnsi" w:cs="Arial"/>
          <w:sz w:val="22"/>
        </w:rPr>
        <w:t>Aladdin Temp Rite</w:t>
      </w:r>
      <w:r w:rsidR="003C5FFB" w:rsidRPr="0034081F">
        <w:rPr>
          <w:rFonts w:asciiTheme="minorHAnsi" w:eastAsia="Calibri" w:hAnsiTheme="minorHAnsi" w:cs="Arial"/>
          <w:sz w:val="22"/>
          <w:szCs w:val="22"/>
        </w:rPr>
        <w:t xml:space="preserve"> </w:t>
      </w:r>
      <w:r w:rsidRPr="0034081F">
        <w:rPr>
          <w:rFonts w:asciiTheme="minorHAnsi" w:eastAsia="Calibri" w:hAnsiTheme="minorHAnsi" w:cs="Arial"/>
          <w:sz w:val="22"/>
          <w:szCs w:val="22"/>
        </w:rPr>
        <w:t>- is able provide it.</w:t>
      </w:r>
    </w:p>
    <w:p w14:paraId="3E5A5C09" w14:textId="77777777" w:rsidR="00B84D82" w:rsidRPr="0034081F" w:rsidRDefault="00B84D82" w:rsidP="00B84D82">
      <w:pPr>
        <w:spacing w:after="0"/>
        <w:rPr>
          <w:rFonts w:asciiTheme="minorHAnsi" w:eastAsia="Calibri" w:hAnsiTheme="minorHAnsi" w:cs="Arial"/>
          <w:b/>
          <w:sz w:val="22"/>
          <w:szCs w:val="22"/>
        </w:rPr>
      </w:pPr>
      <w:r w:rsidRPr="0034081F">
        <w:rPr>
          <w:rFonts w:asciiTheme="minorHAnsi" w:eastAsia="Calibri" w:hAnsiTheme="minorHAnsi" w:cs="Arial"/>
          <w:b/>
          <w:sz w:val="22"/>
          <w:szCs w:val="22"/>
        </w:rPr>
        <w:t>Bidders:</w:t>
      </w:r>
    </w:p>
    <w:p w14:paraId="738931CC" w14:textId="35BE4B9D" w:rsidR="00B84D82" w:rsidRPr="0034081F" w:rsidRDefault="00B84D82" w:rsidP="00C57DB8">
      <w:pPr>
        <w:spacing w:after="120"/>
        <w:rPr>
          <w:rFonts w:asciiTheme="minorHAnsi" w:eastAsia="Calibri" w:hAnsiTheme="minorHAnsi" w:cs="Arial"/>
          <w:sz w:val="22"/>
          <w:szCs w:val="22"/>
        </w:rPr>
      </w:pPr>
      <w:r w:rsidRPr="0034081F">
        <w:rPr>
          <w:rFonts w:asciiTheme="minorHAnsi" w:eastAsia="Calibri" w:hAnsiTheme="minorHAnsi" w:cs="Arial"/>
          <w:sz w:val="22"/>
          <w:szCs w:val="22"/>
        </w:rPr>
        <w:t xml:space="preserve">The ITN was posted on SIGMA VSS on </w:t>
      </w:r>
      <w:r w:rsidR="003C5FFB">
        <w:rPr>
          <w:rFonts w:asciiTheme="minorHAnsi" w:eastAsia="Calibri" w:hAnsiTheme="minorHAnsi" w:cs="Arial"/>
          <w:sz w:val="22"/>
        </w:rPr>
        <w:t>May 13, 2026, for 7 days</w:t>
      </w:r>
      <w:r w:rsidRPr="0034081F">
        <w:rPr>
          <w:rFonts w:asciiTheme="minorHAnsi" w:eastAsia="Calibri" w:hAnsiTheme="minorHAnsi" w:cs="Arial"/>
          <w:sz w:val="22"/>
          <w:szCs w:val="22"/>
        </w:rPr>
        <w:t xml:space="preserve">. The following bidders submitted proposals by the published due date of </w:t>
      </w:r>
      <w:r w:rsidR="003C5FFB" w:rsidRPr="00D42ACA">
        <w:rPr>
          <w:rFonts w:asciiTheme="minorHAnsi" w:eastAsia="Calibri" w:hAnsiTheme="minorHAnsi" w:cs="Arial"/>
          <w:sz w:val="22"/>
        </w:rPr>
        <w:t>May 19, 2026</w:t>
      </w:r>
      <w:r w:rsidRPr="0034081F">
        <w:rPr>
          <w:rFonts w:asciiTheme="minorHAnsi" w:eastAsia="Calibri" w:hAnsiTheme="minorHAnsi" w:cs="Arial"/>
          <w:sz w:val="22"/>
          <w:szCs w:val="22"/>
        </w:rPr>
        <w:t>.</w:t>
      </w:r>
    </w:p>
    <w:tbl>
      <w:tblPr>
        <w:tblStyle w:val="ListTable3-Accent1"/>
        <w:tblW w:w="10790" w:type="dxa"/>
        <w:tblLayout w:type="fixed"/>
        <w:tblLook w:val="04A0" w:firstRow="1" w:lastRow="0" w:firstColumn="1" w:lastColumn="0" w:noHBand="0" w:noVBand="1"/>
      </w:tblPr>
      <w:tblGrid>
        <w:gridCol w:w="4276"/>
        <w:gridCol w:w="4028"/>
        <w:gridCol w:w="1243"/>
        <w:gridCol w:w="1243"/>
      </w:tblGrid>
      <w:tr w:rsidR="0034081F" w:rsidRPr="0034081F" w14:paraId="493A8DE3" w14:textId="49E35B87" w:rsidTr="00340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76" w:type="dxa"/>
            <w:tcBorders>
              <w:bottom w:val="single" w:sz="4" w:space="0" w:color="auto"/>
            </w:tcBorders>
          </w:tcPr>
          <w:p w14:paraId="064F6270" w14:textId="77777777" w:rsidR="0034081F" w:rsidRPr="0034081F" w:rsidRDefault="0034081F" w:rsidP="00C57DB8">
            <w:pPr>
              <w:rPr>
                <w:rFonts w:asciiTheme="minorHAnsi" w:eastAsia="Calibri" w:hAnsiTheme="minorHAnsi" w:cs="Arial"/>
                <w:b w:val="0"/>
                <w:color w:val="FFFFFF" w:themeColor="background1"/>
                <w:sz w:val="22"/>
                <w:szCs w:val="22"/>
              </w:rPr>
            </w:pPr>
            <w:bookmarkStart w:id="0" w:name="_Hlk86911928"/>
            <w:r w:rsidRPr="0034081F">
              <w:rPr>
                <w:rFonts w:asciiTheme="minorHAnsi" w:eastAsia="Calibri" w:hAnsiTheme="minorHAnsi" w:cs="Arial"/>
                <w:color w:val="FFFFFF" w:themeColor="background1"/>
                <w:sz w:val="22"/>
                <w:szCs w:val="22"/>
              </w:rPr>
              <w:t>Bidder</w:t>
            </w:r>
          </w:p>
        </w:tc>
        <w:tc>
          <w:tcPr>
            <w:tcW w:w="4028" w:type="dxa"/>
            <w:tcBorders>
              <w:bottom w:val="single" w:sz="4" w:space="0" w:color="auto"/>
            </w:tcBorders>
          </w:tcPr>
          <w:p w14:paraId="03F30E85" w14:textId="2A95B656" w:rsidR="0034081F" w:rsidRPr="0034081F" w:rsidRDefault="0034081F" w:rsidP="00B84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 w:val="0"/>
                <w:color w:val="FFFFFF" w:themeColor="background1"/>
                <w:sz w:val="22"/>
                <w:szCs w:val="22"/>
              </w:rPr>
            </w:pPr>
            <w:r w:rsidRPr="0034081F">
              <w:rPr>
                <w:rFonts w:asciiTheme="minorHAnsi" w:eastAsia="Calibri" w:hAnsiTheme="minorHAnsi" w:cs="Arial"/>
                <w:color w:val="FFFFFF" w:themeColor="background1"/>
                <w:sz w:val="22"/>
                <w:szCs w:val="22"/>
              </w:rPr>
              <w:t>Address/City, State Zip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1E80AB5B" w14:textId="77777777" w:rsidR="0034081F" w:rsidRPr="0034081F" w:rsidRDefault="0034081F" w:rsidP="000E6B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 w:val="0"/>
                <w:color w:val="FFFFFF" w:themeColor="background1"/>
                <w:sz w:val="22"/>
                <w:szCs w:val="22"/>
              </w:rPr>
            </w:pPr>
            <w:r w:rsidRPr="0034081F">
              <w:rPr>
                <w:rFonts w:asciiTheme="minorHAnsi" w:eastAsia="Calibri" w:hAnsiTheme="minorHAnsi" w:cs="Arial"/>
                <w:color w:val="FFFFFF" w:themeColor="background1"/>
                <w:sz w:val="22"/>
                <w:szCs w:val="22"/>
              </w:rPr>
              <w:t>SDVOB*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323B2C20" w14:textId="6409D16A" w:rsidR="0034081F" w:rsidRPr="0034081F" w:rsidRDefault="0034081F" w:rsidP="000E6B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color w:val="FFFFFF" w:themeColor="background1"/>
                <w:sz w:val="22"/>
                <w:szCs w:val="22"/>
              </w:rPr>
              <w:t>GDBE**</w:t>
            </w:r>
          </w:p>
        </w:tc>
      </w:tr>
      <w:tr w:rsidR="0034081F" w:rsidRPr="0034081F" w14:paraId="2CBC516E" w14:textId="2318988D" w:rsidTr="00340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68E8" w14:textId="54EE6D5C" w:rsidR="0034081F" w:rsidRPr="0034081F" w:rsidRDefault="003C5FFB" w:rsidP="005D6DC9">
            <w:pPr>
              <w:spacing w:after="120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ICS Jail Supplies, Inc.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612C" w14:textId="3E91FEC2" w:rsidR="0034081F" w:rsidRPr="0034081F" w:rsidRDefault="003C5FFB" w:rsidP="005D6DC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PO Box 21056, Waco, TX 76702-1056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CD79" w14:textId="6208DDC3" w:rsidR="0034081F" w:rsidRPr="0034081F" w:rsidRDefault="003C5FFB" w:rsidP="005D6DC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No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134C" w14:textId="22FFC86E" w:rsidR="0034081F" w:rsidRPr="0034081F" w:rsidRDefault="003C5FFB" w:rsidP="005D6DC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No</w:t>
            </w:r>
          </w:p>
        </w:tc>
      </w:tr>
    </w:tbl>
    <w:bookmarkEnd w:id="0"/>
    <w:p w14:paraId="11BA0913" w14:textId="77777777" w:rsidR="000E6B9B" w:rsidRDefault="000E6B9B" w:rsidP="0034081F">
      <w:pPr>
        <w:spacing w:after="0" w:line="240" w:lineRule="auto"/>
        <w:rPr>
          <w:rFonts w:asciiTheme="minorHAnsi" w:eastAsia="Calibri" w:hAnsiTheme="minorHAnsi" w:cs="Arial"/>
          <w:b/>
          <w:bCs/>
          <w:sz w:val="22"/>
          <w:szCs w:val="22"/>
        </w:rPr>
      </w:pPr>
      <w:r w:rsidRPr="0034081F">
        <w:rPr>
          <w:rFonts w:asciiTheme="minorHAnsi" w:eastAsia="Calibri" w:hAnsiTheme="minorHAnsi" w:cs="Arial"/>
          <w:sz w:val="22"/>
          <w:szCs w:val="22"/>
        </w:rPr>
        <w:t>*</w:t>
      </w:r>
      <w:r w:rsidRPr="0034081F">
        <w:rPr>
          <w:rFonts w:asciiTheme="minorHAnsi" w:eastAsia="Calibri" w:hAnsiTheme="minorHAnsi" w:cs="Arial"/>
          <w:b/>
          <w:bCs/>
          <w:sz w:val="22"/>
          <w:szCs w:val="22"/>
        </w:rPr>
        <w:t>SDVOB: Service-Disabled Veteran Owned Business</w:t>
      </w:r>
    </w:p>
    <w:p w14:paraId="7280237D" w14:textId="3773A9EC" w:rsidR="0034081F" w:rsidRPr="0034081F" w:rsidRDefault="0034081F" w:rsidP="00C57DB8">
      <w:pPr>
        <w:spacing w:after="120" w:line="240" w:lineRule="auto"/>
        <w:rPr>
          <w:rFonts w:asciiTheme="minorHAnsi" w:eastAsia="Calibri" w:hAnsiTheme="minorHAnsi" w:cs="Arial"/>
          <w:sz w:val="22"/>
          <w:szCs w:val="22"/>
        </w:rPr>
      </w:pPr>
      <w:r>
        <w:rPr>
          <w:rFonts w:asciiTheme="minorHAnsi" w:eastAsia="Calibri" w:hAnsiTheme="minorHAnsi" w:cs="Arial"/>
          <w:b/>
          <w:bCs/>
          <w:sz w:val="22"/>
          <w:szCs w:val="22"/>
        </w:rPr>
        <w:t>**GDBE: Geographically Disadvantaged Business Enterprise</w:t>
      </w:r>
    </w:p>
    <w:p w14:paraId="28FAE589" w14:textId="77777777" w:rsidR="000E6B9B" w:rsidRPr="0034081F" w:rsidRDefault="000E6B9B" w:rsidP="00C57DB8">
      <w:pPr>
        <w:spacing w:before="240" w:after="120" w:line="240" w:lineRule="auto"/>
        <w:rPr>
          <w:rFonts w:asciiTheme="minorHAnsi" w:eastAsia="Calibri" w:hAnsiTheme="minorHAnsi" w:cs="Arial"/>
          <w:sz w:val="22"/>
          <w:szCs w:val="22"/>
        </w:rPr>
      </w:pPr>
      <w:r w:rsidRPr="0034081F">
        <w:rPr>
          <w:rFonts w:asciiTheme="minorHAnsi" w:eastAsia="Calibri" w:hAnsiTheme="minorHAnsi" w:cs="Arial"/>
          <w:sz w:val="22"/>
          <w:szCs w:val="22"/>
        </w:rPr>
        <w:t>Because the State received a response(s) from a bidder(s), other than the intended source, the State reviewed the response(s) to determine if a viable alternative(s) existed.</w:t>
      </w:r>
    </w:p>
    <w:p w14:paraId="3C44851F" w14:textId="20A198AD" w:rsidR="000E6B9B" w:rsidRPr="0034081F" w:rsidRDefault="000E6B9B" w:rsidP="000E6B9B">
      <w:pPr>
        <w:pStyle w:val="ListParagraph"/>
        <w:numPr>
          <w:ilvl w:val="0"/>
          <w:numId w:val="3"/>
        </w:numPr>
        <w:spacing w:before="120" w:after="120"/>
        <w:rPr>
          <w:rFonts w:asciiTheme="minorHAnsi" w:eastAsia="Calibri" w:hAnsiTheme="minorHAnsi" w:cs="Arial"/>
          <w:b/>
          <w:sz w:val="22"/>
          <w:szCs w:val="22"/>
        </w:rPr>
      </w:pPr>
      <w:r w:rsidRPr="0034081F">
        <w:rPr>
          <w:rFonts w:asciiTheme="minorHAnsi" w:eastAsia="Calibri" w:hAnsiTheme="minorHAnsi" w:cs="Arial"/>
          <w:b/>
          <w:sz w:val="22"/>
          <w:szCs w:val="22"/>
        </w:rPr>
        <w:t>ITN Evaluation Process</w:t>
      </w:r>
    </w:p>
    <w:p w14:paraId="2BB3D3A0" w14:textId="77777777" w:rsidR="000E6B9B" w:rsidRPr="0034081F" w:rsidRDefault="000E6B9B" w:rsidP="00C57DB8">
      <w:pPr>
        <w:spacing w:after="120" w:line="240" w:lineRule="auto"/>
        <w:rPr>
          <w:rFonts w:asciiTheme="minorHAnsi" w:eastAsia="Calibri" w:hAnsiTheme="minorHAnsi" w:cs="Arial"/>
          <w:sz w:val="22"/>
          <w:szCs w:val="22"/>
        </w:rPr>
      </w:pPr>
      <w:r w:rsidRPr="0034081F">
        <w:rPr>
          <w:rFonts w:asciiTheme="minorHAnsi" w:eastAsia="Calibri" w:hAnsiTheme="minorHAnsi" w:cs="Arial"/>
          <w:sz w:val="22"/>
          <w:szCs w:val="22"/>
        </w:rPr>
        <w:t>A Responsible Vendor is a vendor who demonstrates the ability to successfully perform the duties identified by the ITN.  A Responsive proposal is one that is submitted in accordance with the ITN instructions and meets all mandatory requirements identified in the ITN.</w:t>
      </w:r>
    </w:p>
    <w:p w14:paraId="7272925C" w14:textId="77777777" w:rsidR="00AA0E9F" w:rsidRPr="00CB3AD7" w:rsidRDefault="00AA0E9F" w:rsidP="00AA0E9F">
      <w:pPr>
        <w:pStyle w:val="BodyTextIndent"/>
        <w:numPr>
          <w:ilvl w:val="0"/>
          <w:numId w:val="5"/>
        </w:numPr>
        <w:spacing w:line="240" w:lineRule="auto"/>
        <w:rPr>
          <w:rFonts w:asciiTheme="minorHAnsi" w:hAnsiTheme="minorHAnsi"/>
          <w:sz w:val="22"/>
        </w:rPr>
      </w:pPr>
      <w:r w:rsidRPr="00AB3743">
        <w:rPr>
          <w:rFonts w:asciiTheme="minorHAnsi" w:hAnsiTheme="minorHAnsi"/>
          <w:sz w:val="22"/>
        </w:rPr>
        <w:t>The tray must be a two-piece system (server and cover) that provides both hot and cold retention within each tray cavity.</w:t>
      </w:r>
      <w:r>
        <w:rPr>
          <w:rFonts w:asciiTheme="minorHAnsi" w:hAnsiTheme="minorHAnsi"/>
          <w:sz w:val="22"/>
        </w:rPr>
        <w:t xml:space="preserve"> </w:t>
      </w:r>
    </w:p>
    <w:p w14:paraId="3065C577" w14:textId="77777777" w:rsidR="00AA0E9F" w:rsidRDefault="00AA0E9F" w:rsidP="00AA0E9F">
      <w:pPr>
        <w:pStyle w:val="BodyTextIndent"/>
        <w:numPr>
          <w:ilvl w:val="0"/>
          <w:numId w:val="5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Server tray dimensions must be 1.8” Height, 13.4” Width, 20.6” Length.</w:t>
      </w:r>
    </w:p>
    <w:p w14:paraId="4B552B64" w14:textId="77777777" w:rsidR="00AA0E9F" w:rsidRDefault="00AA0E9F" w:rsidP="00AA0E9F">
      <w:pPr>
        <w:pStyle w:val="BodyTextIndent"/>
        <w:numPr>
          <w:ilvl w:val="0"/>
          <w:numId w:val="5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Cover dimensions must be 2.6” Height, 13.4” Width, 20.6” Length.</w:t>
      </w:r>
    </w:p>
    <w:p w14:paraId="1D6E67E8" w14:textId="77777777" w:rsidR="00AA0E9F" w:rsidRPr="00C33631" w:rsidRDefault="00AA0E9F" w:rsidP="00AA0E9F">
      <w:pPr>
        <w:pStyle w:val="BodyTextIndent"/>
        <w:numPr>
          <w:ilvl w:val="0"/>
          <w:numId w:val="5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Nested height of the tray and cover combined must be 4.2”.</w:t>
      </w:r>
    </w:p>
    <w:p w14:paraId="2F94FB2F" w14:textId="77777777" w:rsidR="00AA0E9F" w:rsidRDefault="00AA0E9F" w:rsidP="00AA0E9F">
      <w:pPr>
        <w:pStyle w:val="BodyTextIndent"/>
        <w:numPr>
          <w:ilvl w:val="0"/>
          <w:numId w:val="5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Server tray must have 2 large and 2 small rectangular walled cavities to support a wide range of menu items with a beverage compartment and utensil storage. </w:t>
      </w:r>
    </w:p>
    <w:p w14:paraId="017513FE" w14:textId="77777777" w:rsidR="00AA0E9F" w:rsidRDefault="00AA0E9F" w:rsidP="00AA0E9F">
      <w:pPr>
        <w:pStyle w:val="BodyTextIndent"/>
        <w:numPr>
          <w:ilvl w:val="1"/>
          <w:numId w:val="5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Cavity A dimensions: 7.4” Length, 4.8” Wide, 1.1” Height, 2.7” Depth Clearance to the top of the lid</w:t>
      </w:r>
    </w:p>
    <w:p w14:paraId="038CA98E" w14:textId="77777777" w:rsidR="00AA0E9F" w:rsidRDefault="00AA0E9F" w:rsidP="00AA0E9F">
      <w:pPr>
        <w:pStyle w:val="BodyTextIndent"/>
        <w:numPr>
          <w:ilvl w:val="1"/>
          <w:numId w:val="5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Cavity B dimensions: 4:5” Length, 3.4” Wide, 1.0” Height, 2.6” Depth Clearance</w:t>
      </w:r>
    </w:p>
    <w:p w14:paraId="46515B7E" w14:textId="77777777" w:rsidR="00AA0E9F" w:rsidRDefault="00AA0E9F" w:rsidP="00AA0E9F">
      <w:pPr>
        <w:pStyle w:val="BodyTextIndent"/>
        <w:numPr>
          <w:ilvl w:val="1"/>
          <w:numId w:val="5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Cavity C dimensions: 7.1” Length, 4.6” Width, 1.00” Height, 2.6” Depth Clearance</w:t>
      </w:r>
    </w:p>
    <w:p w14:paraId="3A2FCADF" w14:textId="77777777" w:rsidR="00AA0E9F" w:rsidRDefault="00AA0E9F" w:rsidP="00AA0E9F">
      <w:pPr>
        <w:pStyle w:val="BodyTextIndent"/>
        <w:numPr>
          <w:ilvl w:val="1"/>
          <w:numId w:val="5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Cavity D dimensions: 4.5”, Length, 3.4” Width, 1.0” Height, 3.1” Depth Clearance</w:t>
      </w:r>
    </w:p>
    <w:p w14:paraId="56869C49" w14:textId="77777777" w:rsidR="00AA0E9F" w:rsidRPr="00A6000D" w:rsidRDefault="00AA0E9F" w:rsidP="00AA0E9F">
      <w:pPr>
        <w:pStyle w:val="BodyTextIndent"/>
        <w:numPr>
          <w:ilvl w:val="1"/>
          <w:numId w:val="5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Cavity E dimensions: 11.5” Length, 5.3” Width, 1.2” Height, 3.5” Depth Clearance</w:t>
      </w:r>
    </w:p>
    <w:p w14:paraId="05267D1B" w14:textId="77777777" w:rsidR="00AA0E9F" w:rsidRDefault="00AA0E9F" w:rsidP="00AA0E9F">
      <w:pPr>
        <w:pStyle w:val="BodyTextIndent"/>
        <w:numPr>
          <w:ilvl w:val="0"/>
          <w:numId w:val="5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Exterior depth clearance 4.20” in depth</w:t>
      </w:r>
    </w:p>
    <w:p w14:paraId="309A2D75" w14:textId="77777777" w:rsidR="00AA0E9F" w:rsidRDefault="00AA0E9F" w:rsidP="00AA0E9F">
      <w:pPr>
        <w:pStyle w:val="BodyTextIndent"/>
        <w:numPr>
          <w:ilvl w:val="0"/>
          <w:numId w:val="5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Exterior plastic shell material must be made of polypropylene</w:t>
      </w:r>
    </w:p>
    <w:p w14:paraId="25CEA145" w14:textId="77777777" w:rsidR="00AA0E9F" w:rsidRPr="00AB3743" w:rsidRDefault="00AA0E9F" w:rsidP="00AA0E9F">
      <w:pPr>
        <w:pStyle w:val="BodyTextIndent"/>
        <w:numPr>
          <w:ilvl w:val="0"/>
          <w:numId w:val="5"/>
        </w:numPr>
        <w:spacing w:line="240" w:lineRule="auto"/>
        <w:rPr>
          <w:rFonts w:asciiTheme="minorHAnsi" w:hAnsiTheme="minorHAnsi"/>
          <w:sz w:val="22"/>
        </w:rPr>
      </w:pPr>
      <w:r w:rsidRPr="00AB3743">
        <w:rPr>
          <w:rFonts w:asciiTheme="minorHAnsi" w:hAnsiTheme="minorHAnsi"/>
          <w:sz w:val="22"/>
        </w:rPr>
        <w:lastRenderedPageBreak/>
        <w:t>Fully foamed insulation</w:t>
      </w:r>
      <w:r>
        <w:rPr>
          <w:rFonts w:asciiTheme="minorHAnsi" w:hAnsiTheme="minorHAnsi"/>
          <w:sz w:val="22"/>
        </w:rPr>
        <w:t xml:space="preserve"> must be made from polypropylene foam</w:t>
      </w:r>
    </w:p>
    <w:p w14:paraId="030D9DA6" w14:textId="77777777" w:rsidR="00AA0E9F" w:rsidRPr="00AB3743" w:rsidRDefault="00AA0E9F" w:rsidP="00AA0E9F">
      <w:pPr>
        <w:pStyle w:val="BodyTextIndent"/>
        <w:numPr>
          <w:ilvl w:val="0"/>
          <w:numId w:val="5"/>
        </w:numPr>
        <w:spacing w:line="240" w:lineRule="auto"/>
        <w:rPr>
          <w:rFonts w:asciiTheme="minorHAnsi" w:hAnsiTheme="minorHAnsi"/>
          <w:sz w:val="22"/>
        </w:rPr>
      </w:pPr>
      <w:r w:rsidRPr="00AB3743">
        <w:rPr>
          <w:rFonts w:asciiTheme="minorHAnsi" w:hAnsiTheme="minorHAnsi"/>
          <w:sz w:val="22"/>
        </w:rPr>
        <w:t xml:space="preserve">Lightweight </w:t>
      </w:r>
    </w:p>
    <w:p w14:paraId="3C65AB04" w14:textId="77777777" w:rsidR="00AA0E9F" w:rsidRPr="00AB3743" w:rsidRDefault="00AA0E9F" w:rsidP="00AA0E9F">
      <w:pPr>
        <w:pStyle w:val="BodyTextIndent"/>
        <w:numPr>
          <w:ilvl w:val="0"/>
          <w:numId w:val="5"/>
        </w:numPr>
        <w:spacing w:line="240" w:lineRule="auto"/>
        <w:rPr>
          <w:rFonts w:asciiTheme="minorHAnsi" w:hAnsiTheme="minorHAnsi"/>
          <w:sz w:val="22"/>
        </w:rPr>
      </w:pPr>
      <w:r w:rsidRPr="00AB3743">
        <w:rPr>
          <w:rFonts w:asciiTheme="minorHAnsi" w:hAnsiTheme="minorHAnsi"/>
          <w:sz w:val="22"/>
        </w:rPr>
        <w:t>Stackable</w:t>
      </w:r>
    </w:p>
    <w:p w14:paraId="235E9DC3" w14:textId="77777777" w:rsidR="00AA0E9F" w:rsidRPr="00AB3743" w:rsidRDefault="00AA0E9F" w:rsidP="00AA0E9F">
      <w:pPr>
        <w:pStyle w:val="BodyTextIndent"/>
        <w:numPr>
          <w:ilvl w:val="0"/>
          <w:numId w:val="5"/>
        </w:numPr>
        <w:spacing w:line="240" w:lineRule="auto"/>
        <w:rPr>
          <w:rFonts w:asciiTheme="minorHAnsi" w:hAnsiTheme="minorHAnsi"/>
          <w:sz w:val="22"/>
        </w:rPr>
      </w:pPr>
      <w:r w:rsidRPr="00AB3743">
        <w:rPr>
          <w:rFonts w:asciiTheme="minorHAnsi" w:hAnsiTheme="minorHAnsi"/>
          <w:sz w:val="22"/>
        </w:rPr>
        <w:t>Washable</w:t>
      </w:r>
    </w:p>
    <w:p w14:paraId="7FD6FC21" w14:textId="77777777" w:rsidR="00AA0E9F" w:rsidRDefault="00AA0E9F" w:rsidP="00AA0E9F">
      <w:pPr>
        <w:pStyle w:val="BodyTextIndent"/>
        <w:numPr>
          <w:ilvl w:val="0"/>
          <w:numId w:val="5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Must have t</w:t>
      </w:r>
      <w:r w:rsidRPr="00AB3743">
        <w:rPr>
          <w:rFonts w:asciiTheme="minorHAnsi" w:hAnsiTheme="minorHAnsi"/>
          <w:sz w:val="22"/>
        </w:rPr>
        <w:t>hermal zone principle</w:t>
      </w:r>
      <w:r>
        <w:rPr>
          <w:rFonts w:asciiTheme="minorHAnsi" w:hAnsiTheme="minorHAnsi"/>
          <w:sz w:val="22"/>
        </w:rPr>
        <w:t>: E</w:t>
      </w:r>
      <w:r w:rsidRPr="00E656AD">
        <w:rPr>
          <w:rFonts w:asciiTheme="minorHAnsi" w:hAnsiTheme="minorHAnsi"/>
          <w:sz w:val="22"/>
        </w:rPr>
        <w:t>ach compartment is fully enclosed by 360° of insulation, creating independent thermal zones that help maintain hot or cold temperatures</w:t>
      </w:r>
      <w:r>
        <w:rPr>
          <w:rFonts w:asciiTheme="minorHAnsi" w:hAnsiTheme="minorHAnsi"/>
          <w:sz w:val="22"/>
        </w:rPr>
        <w:t xml:space="preserve"> </w:t>
      </w:r>
      <w:r w:rsidRPr="00E656AD">
        <w:rPr>
          <w:rFonts w:asciiTheme="minorHAnsi" w:hAnsiTheme="minorHAnsi"/>
          <w:sz w:val="22"/>
        </w:rPr>
        <w:t>consistently within each cavity</w:t>
      </w:r>
      <w:r>
        <w:rPr>
          <w:rFonts w:asciiTheme="minorHAnsi" w:hAnsiTheme="minorHAnsi"/>
          <w:sz w:val="22"/>
        </w:rPr>
        <w:t>.</w:t>
      </w:r>
    </w:p>
    <w:p w14:paraId="75938A53" w14:textId="77777777" w:rsidR="00AA0E9F" w:rsidRPr="00AB3743" w:rsidRDefault="00AA0E9F" w:rsidP="00AA0E9F">
      <w:pPr>
        <w:pStyle w:val="BodyTextIndent"/>
        <w:numPr>
          <w:ilvl w:val="0"/>
          <w:numId w:val="5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Must be National Sanitation Foundation (NSF)/American National Standards Institute (ANSI) 2 Certified.</w:t>
      </w:r>
    </w:p>
    <w:p w14:paraId="6AF99426" w14:textId="3B96581A" w:rsidR="000E6B9B" w:rsidRPr="0034081F" w:rsidRDefault="000E6B9B" w:rsidP="00C57DB8">
      <w:pPr>
        <w:spacing w:line="240" w:lineRule="auto"/>
        <w:rPr>
          <w:rFonts w:asciiTheme="minorHAnsi" w:eastAsia="Calibri" w:hAnsiTheme="minorHAnsi" w:cs="Arial"/>
          <w:sz w:val="22"/>
          <w:szCs w:val="22"/>
          <w:highlight w:val="green"/>
        </w:rPr>
      </w:pPr>
      <w:r w:rsidRPr="0034081F">
        <w:rPr>
          <w:rFonts w:asciiTheme="minorHAnsi" w:eastAsia="Calibri" w:hAnsiTheme="minorHAnsi" w:cs="Arial"/>
          <w:sz w:val="22"/>
          <w:szCs w:val="22"/>
        </w:rPr>
        <w:t>Responses to this ITN were reviewed by</w:t>
      </w:r>
      <w:r w:rsidR="00AA0E9F">
        <w:rPr>
          <w:rFonts w:asciiTheme="minorHAnsi" w:eastAsia="Calibri" w:hAnsiTheme="minorHAnsi" w:cs="Arial"/>
          <w:sz w:val="22"/>
          <w:szCs w:val="22"/>
        </w:rPr>
        <w:t>:</w:t>
      </w:r>
    </w:p>
    <w:p w14:paraId="470FE663" w14:textId="3C63011E" w:rsidR="003C5FFB" w:rsidRPr="00DC0746" w:rsidRDefault="003C5FFB" w:rsidP="003C5FFB">
      <w:pPr>
        <w:spacing w:after="0"/>
        <w:rPr>
          <w:rFonts w:asciiTheme="minorHAnsi" w:eastAsia="Calibri" w:hAnsiTheme="minorHAnsi" w:cs="Arial"/>
          <w:sz w:val="22"/>
        </w:rPr>
      </w:pPr>
      <w:r>
        <w:rPr>
          <w:rFonts w:asciiTheme="minorHAnsi" w:eastAsia="Calibri" w:hAnsiTheme="minorHAnsi" w:cs="Arial"/>
          <w:sz w:val="22"/>
        </w:rPr>
        <w:t>Erin O’Neil</w:t>
      </w:r>
      <w:r w:rsidRPr="00DC0746">
        <w:rPr>
          <w:rFonts w:asciiTheme="minorHAnsi" w:eastAsia="Calibri" w:hAnsiTheme="minorHAnsi" w:cs="Arial"/>
          <w:sz w:val="22"/>
        </w:rPr>
        <w:t xml:space="preserve">, </w:t>
      </w:r>
      <w:r w:rsidR="001977C4">
        <w:rPr>
          <w:rFonts w:asciiTheme="minorHAnsi" w:eastAsia="Calibri" w:hAnsiTheme="minorHAnsi" w:cs="Arial"/>
          <w:sz w:val="22"/>
        </w:rPr>
        <w:t>Procurement Technician</w:t>
      </w:r>
    </w:p>
    <w:p w14:paraId="4806497E" w14:textId="77777777" w:rsidR="003C5FFB" w:rsidRPr="00DC0746" w:rsidRDefault="003C5FFB" w:rsidP="003C5FFB">
      <w:pPr>
        <w:spacing w:after="0"/>
        <w:rPr>
          <w:rFonts w:asciiTheme="minorHAnsi" w:eastAsia="Calibri" w:hAnsiTheme="minorHAnsi" w:cs="Arial"/>
          <w:sz w:val="22"/>
          <w:highlight w:val="green"/>
        </w:rPr>
      </w:pPr>
      <w:r w:rsidRPr="0000740E">
        <w:rPr>
          <w:rFonts w:asciiTheme="minorHAnsi" w:eastAsia="Calibri" w:hAnsiTheme="minorHAnsi" w:cs="Arial"/>
          <w:sz w:val="22"/>
        </w:rPr>
        <w:t>Oneile2@michigan.gov</w:t>
      </w:r>
    </w:p>
    <w:p w14:paraId="343E4556" w14:textId="77777777" w:rsidR="003C5FFB" w:rsidRPr="00DC0746" w:rsidRDefault="003C5FFB" w:rsidP="003C5FFB">
      <w:pPr>
        <w:rPr>
          <w:rFonts w:asciiTheme="minorHAnsi" w:hAnsiTheme="minorHAnsi"/>
          <w:sz w:val="22"/>
        </w:rPr>
      </w:pPr>
      <w:r>
        <w:rPr>
          <w:rFonts w:asciiTheme="minorHAnsi" w:eastAsia="Calibri" w:hAnsiTheme="minorHAnsi" w:cs="Arial"/>
          <w:sz w:val="22"/>
        </w:rPr>
        <w:t>(517)241-3433</w:t>
      </w:r>
    </w:p>
    <w:p w14:paraId="361BDD8D" w14:textId="47956E75" w:rsidR="000E6B9B" w:rsidRDefault="000E6B9B" w:rsidP="00C57DB8">
      <w:pPr>
        <w:pStyle w:val="ListParagraph"/>
        <w:numPr>
          <w:ilvl w:val="0"/>
          <w:numId w:val="3"/>
        </w:numPr>
        <w:spacing w:before="120" w:after="120"/>
        <w:rPr>
          <w:rFonts w:asciiTheme="minorHAnsi" w:eastAsia="Calibri" w:hAnsiTheme="minorHAnsi" w:cs="Arial"/>
          <w:b/>
          <w:sz w:val="22"/>
          <w:szCs w:val="22"/>
        </w:rPr>
      </w:pPr>
      <w:r w:rsidRPr="0034081F">
        <w:rPr>
          <w:rFonts w:asciiTheme="minorHAnsi" w:eastAsia="Calibri" w:hAnsiTheme="minorHAnsi" w:cs="Arial"/>
          <w:b/>
          <w:sz w:val="22"/>
          <w:szCs w:val="22"/>
        </w:rPr>
        <w:t>ITN Evaluation Results</w:t>
      </w:r>
    </w:p>
    <w:p w14:paraId="79230AC4" w14:textId="77777777" w:rsidR="00AA0E9F" w:rsidRPr="0034081F" w:rsidRDefault="00AA0E9F" w:rsidP="00AA0E9F">
      <w:pPr>
        <w:pStyle w:val="ListParagraph"/>
        <w:spacing w:before="120" w:after="120"/>
        <w:ind w:left="360"/>
        <w:rPr>
          <w:rFonts w:asciiTheme="minorHAnsi" w:eastAsia="Calibri" w:hAnsiTheme="minorHAnsi" w:cs="Arial"/>
          <w:b/>
          <w:sz w:val="22"/>
          <w:szCs w:val="22"/>
        </w:rPr>
      </w:pPr>
    </w:p>
    <w:p w14:paraId="5CCF1D2D" w14:textId="77777777" w:rsidR="006F006B" w:rsidRPr="00AA0E9F" w:rsidRDefault="006F006B" w:rsidP="002A18EF">
      <w:pPr>
        <w:pStyle w:val="ListParagraph"/>
        <w:numPr>
          <w:ilvl w:val="0"/>
          <w:numId w:val="2"/>
        </w:numPr>
        <w:rPr>
          <w:rFonts w:asciiTheme="minorHAnsi" w:eastAsia="Calibri" w:hAnsiTheme="minorHAnsi" w:cs="Arial"/>
          <w:b/>
          <w:sz w:val="22"/>
          <w:szCs w:val="22"/>
        </w:rPr>
      </w:pPr>
      <w:r w:rsidRPr="00AA0E9F">
        <w:rPr>
          <w:rFonts w:asciiTheme="minorHAnsi" w:eastAsia="Calibri" w:hAnsiTheme="minorHAnsi" w:cs="Arial"/>
          <w:b/>
          <w:sz w:val="22"/>
          <w:szCs w:val="22"/>
        </w:rPr>
        <w:t>Bidder #1</w:t>
      </w:r>
    </w:p>
    <w:p w14:paraId="5A260C04" w14:textId="7C2472B8" w:rsidR="000E6B9B" w:rsidRPr="0034081F" w:rsidRDefault="00AA0E9F" w:rsidP="00C57DB8">
      <w:pPr>
        <w:tabs>
          <w:tab w:val="left" w:pos="2670"/>
        </w:tabs>
        <w:ind w:left="720"/>
        <w:rPr>
          <w:rFonts w:asciiTheme="minorHAnsi" w:eastAsia="Calibri" w:hAnsiTheme="minorHAnsi" w:cs="Arial"/>
          <w:sz w:val="22"/>
          <w:szCs w:val="22"/>
        </w:rPr>
      </w:pPr>
      <w:r w:rsidRPr="00AA0E9F">
        <w:rPr>
          <w:rFonts w:asciiTheme="minorHAnsi" w:eastAsia="Calibri" w:hAnsiTheme="minorHAnsi" w:cs="Arial"/>
          <w:sz w:val="22"/>
          <w:szCs w:val="22"/>
        </w:rPr>
        <w:t>Bidder #1 has</w:t>
      </w:r>
      <w:r>
        <w:rPr>
          <w:rFonts w:asciiTheme="minorHAnsi" w:eastAsia="Calibri" w:hAnsiTheme="minorHAnsi" w:cs="Arial"/>
          <w:sz w:val="22"/>
          <w:szCs w:val="22"/>
        </w:rPr>
        <w:t xml:space="preserve"> not </w:t>
      </w:r>
      <w:r w:rsidR="000E6B9B" w:rsidRPr="0034081F">
        <w:rPr>
          <w:rFonts w:asciiTheme="minorHAnsi" w:eastAsia="Calibri" w:hAnsiTheme="minorHAnsi" w:cs="Arial"/>
          <w:sz w:val="22"/>
          <w:szCs w:val="22"/>
        </w:rPr>
        <w:t xml:space="preserve">met the requirements of being responsive and responsible due </w:t>
      </w:r>
      <w:r>
        <w:rPr>
          <w:rFonts w:asciiTheme="minorHAnsi" w:eastAsia="Calibri" w:hAnsiTheme="minorHAnsi" w:cs="Arial"/>
          <w:sz w:val="22"/>
          <w:szCs w:val="22"/>
        </w:rPr>
        <w:t>only providing the cost and estimated length of delivery.  The bidder did not provide additional details</w:t>
      </w:r>
      <w:r w:rsidR="00B91318">
        <w:rPr>
          <w:rFonts w:asciiTheme="minorHAnsi" w:eastAsia="Calibri" w:hAnsiTheme="minorHAnsi" w:cs="Arial"/>
          <w:sz w:val="22"/>
          <w:szCs w:val="22"/>
        </w:rPr>
        <w:t xml:space="preserve"> in writing describing the product</w:t>
      </w:r>
      <w:r>
        <w:rPr>
          <w:rFonts w:asciiTheme="minorHAnsi" w:eastAsia="Calibri" w:hAnsiTheme="minorHAnsi" w:cs="Arial"/>
          <w:sz w:val="22"/>
          <w:szCs w:val="22"/>
        </w:rPr>
        <w:t>.</w:t>
      </w:r>
    </w:p>
    <w:p w14:paraId="622943D2" w14:textId="2E1C3FDD" w:rsidR="000E6B9B" w:rsidRPr="0034081F" w:rsidRDefault="000E6B9B" w:rsidP="00C57DB8">
      <w:pPr>
        <w:pStyle w:val="ListParagraph"/>
        <w:numPr>
          <w:ilvl w:val="0"/>
          <w:numId w:val="3"/>
        </w:numPr>
        <w:spacing w:before="120" w:after="120"/>
        <w:rPr>
          <w:rFonts w:asciiTheme="minorHAnsi" w:eastAsia="Calibri" w:hAnsiTheme="minorHAnsi" w:cs="Arial"/>
          <w:b/>
          <w:sz w:val="22"/>
          <w:szCs w:val="22"/>
        </w:rPr>
      </w:pPr>
      <w:r w:rsidRPr="0034081F">
        <w:rPr>
          <w:rFonts w:asciiTheme="minorHAnsi" w:eastAsia="Calibri" w:hAnsiTheme="minorHAnsi" w:cs="Arial"/>
          <w:b/>
          <w:sz w:val="22"/>
          <w:szCs w:val="22"/>
        </w:rPr>
        <w:t>Award Recommendation:</w:t>
      </w:r>
    </w:p>
    <w:p w14:paraId="641BC00E" w14:textId="77777777" w:rsidR="000E6B9B" w:rsidRPr="0034081F" w:rsidRDefault="000E6B9B" w:rsidP="00C57DB8">
      <w:pPr>
        <w:spacing w:line="240" w:lineRule="auto"/>
        <w:rPr>
          <w:rFonts w:asciiTheme="minorHAnsi" w:eastAsia="Calibri" w:hAnsiTheme="minorHAnsi" w:cs="Arial"/>
          <w:sz w:val="22"/>
          <w:szCs w:val="22"/>
        </w:rPr>
      </w:pPr>
      <w:r w:rsidRPr="0034081F">
        <w:rPr>
          <w:rFonts w:asciiTheme="minorHAnsi" w:eastAsia="Calibri" w:hAnsiTheme="minorHAnsi" w:cs="Arial"/>
          <w:sz w:val="22"/>
          <w:szCs w:val="22"/>
        </w:rPr>
        <w:t>Because the State has determined that (a) viable alternative(s) to the intended source exist(s), an award recommendation and the purchase will be processed through a separate competitive bidding process.</w:t>
      </w:r>
    </w:p>
    <w:p w14:paraId="17A3C117" w14:textId="77777777" w:rsidR="000E6B9B" w:rsidRPr="0034081F" w:rsidRDefault="000E6B9B" w:rsidP="00C57DB8">
      <w:pPr>
        <w:spacing w:line="240" w:lineRule="auto"/>
        <w:rPr>
          <w:rFonts w:asciiTheme="minorHAnsi" w:eastAsia="Calibri" w:hAnsiTheme="minorHAnsi" w:cs="Arial"/>
          <w:sz w:val="22"/>
          <w:szCs w:val="22"/>
        </w:rPr>
      </w:pPr>
      <w:r w:rsidRPr="0034081F">
        <w:rPr>
          <w:rFonts w:asciiTheme="minorHAnsi" w:eastAsia="Calibri" w:hAnsiTheme="minorHAnsi" w:cs="Arial"/>
          <w:sz w:val="22"/>
          <w:szCs w:val="22"/>
        </w:rPr>
        <w:t>Questions about this ITN may be directed to the Solicitation Manager who may be contacted as follows:</w:t>
      </w:r>
    </w:p>
    <w:p w14:paraId="1AADF9D8" w14:textId="77777777" w:rsidR="00AA0E9F" w:rsidRPr="00DC0746" w:rsidRDefault="00AA0E9F" w:rsidP="00AA0E9F">
      <w:pPr>
        <w:spacing w:after="0"/>
        <w:rPr>
          <w:rFonts w:asciiTheme="minorHAnsi" w:eastAsia="Calibri" w:hAnsiTheme="minorHAnsi" w:cs="Arial"/>
          <w:sz w:val="22"/>
        </w:rPr>
      </w:pPr>
      <w:r>
        <w:rPr>
          <w:rFonts w:asciiTheme="minorHAnsi" w:eastAsia="Calibri" w:hAnsiTheme="minorHAnsi" w:cs="Arial"/>
          <w:sz w:val="22"/>
        </w:rPr>
        <w:t>Erin O’Neil</w:t>
      </w:r>
      <w:r w:rsidRPr="00DC0746">
        <w:rPr>
          <w:rFonts w:asciiTheme="minorHAnsi" w:eastAsia="Calibri" w:hAnsiTheme="minorHAnsi" w:cs="Arial"/>
          <w:sz w:val="22"/>
        </w:rPr>
        <w:t>, Solicitation Manager</w:t>
      </w:r>
    </w:p>
    <w:p w14:paraId="1F56A332" w14:textId="77777777" w:rsidR="00AA0E9F" w:rsidRPr="00DC0746" w:rsidRDefault="00AA0E9F" w:rsidP="00AA0E9F">
      <w:pPr>
        <w:spacing w:after="0"/>
        <w:rPr>
          <w:rFonts w:asciiTheme="minorHAnsi" w:eastAsia="Calibri" w:hAnsiTheme="minorHAnsi" w:cs="Arial"/>
          <w:sz w:val="22"/>
          <w:highlight w:val="green"/>
        </w:rPr>
      </w:pPr>
      <w:r w:rsidRPr="0000740E">
        <w:rPr>
          <w:rFonts w:asciiTheme="minorHAnsi" w:eastAsia="Calibri" w:hAnsiTheme="minorHAnsi" w:cs="Arial"/>
          <w:sz w:val="22"/>
        </w:rPr>
        <w:t>Oneile2@michigan.gov</w:t>
      </w:r>
    </w:p>
    <w:p w14:paraId="59BF72D4" w14:textId="77777777" w:rsidR="00AA0E9F" w:rsidRPr="00DC0746" w:rsidRDefault="00AA0E9F" w:rsidP="00AA0E9F">
      <w:pPr>
        <w:rPr>
          <w:rFonts w:asciiTheme="minorHAnsi" w:hAnsiTheme="minorHAnsi"/>
          <w:sz w:val="22"/>
        </w:rPr>
      </w:pPr>
      <w:r>
        <w:rPr>
          <w:rFonts w:asciiTheme="minorHAnsi" w:eastAsia="Calibri" w:hAnsiTheme="minorHAnsi" w:cs="Arial"/>
          <w:sz w:val="22"/>
        </w:rPr>
        <w:t>(517)241-3433</w:t>
      </w:r>
    </w:p>
    <w:p w14:paraId="6485DB25" w14:textId="1F7305B0" w:rsidR="006B593B" w:rsidRPr="0034081F" w:rsidRDefault="006B593B" w:rsidP="00AA0E9F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sectPr w:rsidR="006B593B" w:rsidRPr="0034081F" w:rsidSect="00C57DB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170BA" w14:textId="77777777" w:rsidR="00E028C2" w:rsidRDefault="00E028C2" w:rsidP="00077914">
      <w:pPr>
        <w:spacing w:after="0"/>
      </w:pPr>
      <w:r>
        <w:separator/>
      </w:r>
    </w:p>
  </w:endnote>
  <w:endnote w:type="continuationSeparator" w:id="0">
    <w:p w14:paraId="6150F0F3" w14:textId="77777777" w:rsidR="00E028C2" w:rsidRDefault="00E028C2" w:rsidP="00077914">
      <w:pPr>
        <w:spacing w:after="0"/>
      </w:pPr>
      <w:r>
        <w:continuationSeparator/>
      </w:r>
    </w:p>
  </w:endnote>
  <w:endnote w:type="continuationNotice" w:id="1">
    <w:p w14:paraId="69A74500" w14:textId="77777777" w:rsidR="005D1E8D" w:rsidRDefault="005D1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D9EB" w14:textId="7926A64C" w:rsidR="00A71631" w:rsidRPr="00C57DB8" w:rsidRDefault="002F448A" w:rsidP="00C57DB8">
    <w:pPr>
      <w:pStyle w:val="Footer"/>
      <w:tabs>
        <w:tab w:val="clear" w:pos="9360"/>
        <w:tab w:val="right" w:pos="10800"/>
      </w:tabs>
      <w:spacing w:line="240" w:lineRule="auto"/>
      <w:rPr>
        <w:rFonts w:asciiTheme="minorHAnsi" w:hAnsiTheme="minorHAnsi" w:cstheme="minorHAnsi"/>
        <w:sz w:val="18"/>
        <w:szCs w:val="18"/>
      </w:rPr>
    </w:pPr>
    <w:r w:rsidRPr="00C57DB8">
      <w:rPr>
        <w:rFonts w:asciiTheme="minorHAnsi" w:hAnsiTheme="minorHAnsi" w:cstheme="minorHAnsi"/>
        <w:noProof/>
        <w:sz w:val="18"/>
        <w:szCs w:val="18"/>
      </w:rPr>
      <w:t>Version 202</w:t>
    </w:r>
    <w:r w:rsidR="00830805">
      <w:rPr>
        <w:rFonts w:asciiTheme="minorHAnsi" w:hAnsiTheme="minorHAnsi" w:cstheme="minorHAnsi"/>
        <w:noProof/>
        <w:sz w:val="18"/>
        <w:szCs w:val="18"/>
      </w:rPr>
      <w:t>4</w:t>
    </w:r>
    <w:r w:rsidRPr="00C57DB8">
      <w:rPr>
        <w:rFonts w:asciiTheme="minorHAnsi" w:hAnsiTheme="minorHAnsi" w:cstheme="minorHAnsi"/>
        <w:noProof/>
        <w:sz w:val="18"/>
        <w:szCs w:val="18"/>
      </w:rPr>
      <w:t>-1</w:t>
    </w:r>
    <w:r w:rsidRPr="00C57DB8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1428224388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sdt>
          <w:sdtPr>
            <w:rPr>
              <w:sz w:val="18"/>
              <w:szCs w:val="18"/>
            </w:rPr>
            <w:id w:val="622194506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HAnsi"/>
            </w:rPr>
          </w:sdtEndPr>
          <w:sdtContent>
            <w:r w:rsidRPr="00C57DB8">
              <w:rPr>
                <w:sz w:val="18"/>
                <w:szCs w:val="18"/>
              </w:rPr>
              <w:tab/>
            </w:r>
            <w:r w:rsidRPr="00C57DB8">
              <w:rPr>
                <w:sz w:val="18"/>
                <w:szCs w:val="18"/>
              </w:rPr>
              <w:tab/>
            </w:r>
            <w:r w:rsidRPr="00C57DB8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Pr="00C57DB8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C57DB8">
              <w:rPr>
                <w:rFonts w:asciiTheme="minorHAnsi" w:hAnsiTheme="minorHAnsi" w:cstheme="minorHAnsi"/>
                <w:sz w:val="18"/>
                <w:szCs w:val="18"/>
              </w:rPr>
              <w:instrText xml:space="preserve"> PAGE </w:instrText>
            </w:r>
            <w:r w:rsidRPr="00C57DB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57DB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C57DB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C57DB8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Pr="00C57DB8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C57DB8">
              <w:rPr>
                <w:rFonts w:asciiTheme="minorHAnsi" w:hAnsiTheme="minorHAnsi" w:cstheme="minorHAnsi"/>
                <w:sz w:val="18"/>
                <w:szCs w:val="18"/>
              </w:rPr>
              <w:instrText xml:space="preserve"> NUMPAGES  </w:instrText>
            </w:r>
            <w:r w:rsidRPr="00C57DB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57DB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C57DB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C777" w14:textId="77777777" w:rsidR="008D6D4C" w:rsidRPr="008D6D4C" w:rsidRDefault="00641679" w:rsidP="008D6D4C">
    <w:pPr>
      <w:pStyle w:val="Footer"/>
      <w:rPr>
        <w:sz w:val="16"/>
        <w:szCs w:val="16"/>
      </w:rPr>
    </w:pPr>
    <w:r w:rsidRPr="008D6D4C">
      <w:rPr>
        <w:rFonts w:asciiTheme="minorHAnsi" w:hAnsiTheme="minorHAnsi" w:cstheme="minorHAnsi"/>
      </w:rPr>
      <w:fldChar w:fldCharType="begin"/>
    </w:r>
    <w:r w:rsidRPr="008D6D4C">
      <w:rPr>
        <w:rFonts w:asciiTheme="minorHAnsi" w:hAnsiTheme="minorHAnsi" w:cstheme="minorHAnsi"/>
      </w:rPr>
      <w:instrText xml:space="preserve"> PAGE   \* MERGEFORMAT </w:instrText>
    </w:r>
    <w:r w:rsidRPr="008D6D4C">
      <w:rPr>
        <w:rFonts w:asciiTheme="minorHAnsi" w:hAnsiTheme="minorHAnsi" w:cstheme="minorHAnsi"/>
      </w:rPr>
      <w:fldChar w:fldCharType="separate"/>
    </w:r>
    <w:r w:rsidRPr="008D6D4C">
      <w:rPr>
        <w:rFonts w:asciiTheme="minorHAnsi" w:hAnsiTheme="minorHAnsi" w:cstheme="minorHAnsi"/>
      </w:rPr>
      <w:t>1</w:t>
    </w:r>
    <w:r w:rsidRPr="008D6D4C">
      <w:rPr>
        <w:rFonts w:asciiTheme="minorHAnsi" w:hAnsiTheme="minorHAnsi" w:cstheme="minorHAnsi"/>
        <w:noProof/>
      </w:rPr>
      <w:fldChar w:fldCharType="end"/>
    </w:r>
    <w:r w:rsidRPr="008D6D4C">
      <w:rPr>
        <w:sz w:val="16"/>
        <w:szCs w:val="16"/>
      </w:rPr>
      <w:tab/>
    </w:r>
    <w:r w:rsidRPr="008D6D4C">
      <w:rPr>
        <w:sz w:val="16"/>
        <w:szCs w:val="16"/>
      </w:rPr>
      <w:tab/>
    </w:r>
    <w:r w:rsidR="00A71631" w:rsidRPr="008D6D4C">
      <w:rPr>
        <w:sz w:val="16"/>
        <w:szCs w:val="16"/>
      </w:rPr>
      <w:t xml:space="preserve"> Revision Date: 10/2018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28F6" w14:textId="77777777" w:rsidR="00E028C2" w:rsidRDefault="00E028C2" w:rsidP="00077914">
      <w:pPr>
        <w:spacing w:after="0"/>
      </w:pPr>
      <w:r>
        <w:separator/>
      </w:r>
    </w:p>
  </w:footnote>
  <w:footnote w:type="continuationSeparator" w:id="0">
    <w:p w14:paraId="797FAE25" w14:textId="77777777" w:rsidR="00E028C2" w:rsidRDefault="00E028C2" w:rsidP="00077914">
      <w:pPr>
        <w:spacing w:after="0"/>
      </w:pPr>
      <w:r>
        <w:continuationSeparator/>
      </w:r>
    </w:p>
  </w:footnote>
  <w:footnote w:type="continuationNotice" w:id="1">
    <w:p w14:paraId="41B240E5" w14:textId="77777777" w:rsidR="005D1E8D" w:rsidRDefault="005D1E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F4AD" w14:textId="53064722" w:rsidR="00507F77" w:rsidRDefault="00507F77" w:rsidP="00507F77">
    <w:pPr>
      <w:pStyle w:val="Header"/>
      <w:jc w:val="right"/>
    </w:pPr>
    <w:r>
      <w:rPr>
        <w:noProof/>
      </w:rPr>
      <w:drawing>
        <wp:inline distT="0" distB="0" distL="0" distR="0" wp14:anchorId="279DF621" wp14:editId="71F80C9A">
          <wp:extent cx="1828800" cy="402336"/>
          <wp:effectExtent l="0" t="0" r="0" b="0"/>
          <wp:docPr id="11" name="Picture 11" descr="State of Michigan Procurement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02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2C6B83" w14:textId="77777777" w:rsidR="004C6692" w:rsidRDefault="004C6692" w:rsidP="004C6692">
    <w:pPr>
      <w:pStyle w:val="Header"/>
      <w:spacing w:after="240"/>
      <w:jc w:val="right"/>
    </w:pPr>
    <w:r w:rsidRPr="00507F77">
      <w:rPr>
        <w:rFonts w:ascii="Segoe UI Semibold" w:hAnsi="Segoe UI Semibold" w:cs="Segoe UI Semibold"/>
        <w:bCs/>
        <w:noProof/>
        <w:color w:val="00558C"/>
        <w:sz w:val="16"/>
        <w:szCs w:val="16"/>
      </w:rPr>
      <w:t>Michigan.gov/MiProcurement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8BDE" w14:textId="77777777" w:rsidR="004C6692" w:rsidRDefault="004C6692" w:rsidP="004C6692">
    <w:pPr>
      <w:pStyle w:val="BodyTextIndent"/>
      <w:spacing w:after="0"/>
      <w:ind w:left="0" w:firstLine="720"/>
      <w:jc w:val="right"/>
      <w:rPr>
        <w:rFonts w:ascii="Segoe UI Semibold" w:hAnsi="Segoe UI Semibold" w:cs="Segoe UI Semibold"/>
        <w:noProof/>
        <w:color w:val="00558C"/>
        <w:sz w:val="16"/>
        <w:szCs w:val="16"/>
      </w:rPr>
    </w:pPr>
    <w:r>
      <w:rPr>
        <w:noProof/>
      </w:rPr>
      <w:drawing>
        <wp:inline distT="0" distB="0" distL="0" distR="0" wp14:anchorId="54086E20" wp14:editId="627596F7">
          <wp:extent cx="1828800" cy="402336"/>
          <wp:effectExtent l="0" t="0" r="0" b="0"/>
          <wp:docPr id="12" name="Picture 12" descr="State of Michigan Procurement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02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72A6C7" w14:textId="77777777" w:rsidR="004C6692" w:rsidRPr="003249B6" w:rsidRDefault="004C6692" w:rsidP="004C6692">
    <w:pPr>
      <w:pStyle w:val="BodyTextIndent"/>
      <w:spacing w:after="240"/>
      <w:ind w:left="0" w:firstLine="720"/>
      <w:jc w:val="right"/>
      <w:rPr>
        <w:color w:val="00558C"/>
        <w:sz w:val="16"/>
        <w:szCs w:val="16"/>
      </w:rPr>
    </w:pPr>
    <w:r>
      <w:rPr>
        <w:rFonts w:ascii="Segoe UI Semibold" w:hAnsi="Segoe UI Semibold" w:cs="Segoe UI Semibold"/>
        <w:noProof/>
        <w:color w:val="00558C"/>
        <w:sz w:val="16"/>
        <w:szCs w:val="16"/>
      </w:rPr>
      <w:tab/>
    </w:r>
    <w:r w:rsidRPr="003249B6">
      <w:rPr>
        <w:rFonts w:ascii="Segoe UI Semibold" w:hAnsi="Segoe UI Semibold" w:cs="Segoe UI Semibold"/>
        <w:noProof/>
        <w:color w:val="00558C"/>
        <w:sz w:val="16"/>
        <w:szCs w:val="16"/>
      </w:rPr>
      <w:t>Michigan.gov/MiProcurement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38AE"/>
    <w:multiLevelType w:val="hybridMultilevel"/>
    <w:tmpl w:val="70E45E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243621"/>
    <w:multiLevelType w:val="hybridMultilevel"/>
    <w:tmpl w:val="A79A59C2"/>
    <w:lvl w:ilvl="0" w:tplc="00CCCDD0">
      <w:start w:val="1"/>
      <w:numFmt w:val="decimal"/>
      <w:pStyle w:val="Heading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9A58AC"/>
    <w:multiLevelType w:val="hybridMultilevel"/>
    <w:tmpl w:val="55E218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4C78FF5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A0B8B"/>
    <w:multiLevelType w:val="hybridMultilevel"/>
    <w:tmpl w:val="25D6CEDA"/>
    <w:lvl w:ilvl="0" w:tplc="7C869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04337"/>
    <w:multiLevelType w:val="hybridMultilevel"/>
    <w:tmpl w:val="64707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4291722">
    <w:abstractNumId w:val="1"/>
  </w:num>
  <w:num w:numId="2" w16cid:durableId="1444760733">
    <w:abstractNumId w:val="2"/>
  </w:num>
  <w:num w:numId="3" w16cid:durableId="205340751">
    <w:abstractNumId w:val="0"/>
  </w:num>
  <w:num w:numId="4" w16cid:durableId="135681567">
    <w:abstractNumId w:val="3"/>
  </w:num>
  <w:num w:numId="5" w16cid:durableId="1990011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82"/>
    <w:rsid w:val="00077914"/>
    <w:rsid w:val="00084A11"/>
    <w:rsid w:val="000E4550"/>
    <w:rsid w:val="000E6B9B"/>
    <w:rsid w:val="0010156A"/>
    <w:rsid w:val="00135B65"/>
    <w:rsid w:val="00161A34"/>
    <w:rsid w:val="001778C5"/>
    <w:rsid w:val="001977C4"/>
    <w:rsid w:val="001E79FB"/>
    <w:rsid w:val="00217ACA"/>
    <w:rsid w:val="002A18EF"/>
    <w:rsid w:val="002C167E"/>
    <w:rsid w:val="002C6D3C"/>
    <w:rsid w:val="002F448A"/>
    <w:rsid w:val="0034081F"/>
    <w:rsid w:val="00356495"/>
    <w:rsid w:val="00371574"/>
    <w:rsid w:val="00376431"/>
    <w:rsid w:val="00377F06"/>
    <w:rsid w:val="003C5FFB"/>
    <w:rsid w:val="0041147E"/>
    <w:rsid w:val="004173E9"/>
    <w:rsid w:val="00482F9B"/>
    <w:rsid w:val="004C6692"/>
    <w:rsid w:val="004D67AA"/>
    <w:rsid w:val="004F576D"/>
    <w:rsid w:val="00507F77"/>
    <w:rsid w:val="00551904"/>
    <w:rsid w:val="005520B4"/>
    <w:rsid w:val="005D1E8D"/>
    <w:rsid w:val="005D4398"/>
    <w:rsid w:val="005D6DC9"/>
    <w:rsid w:val="006405F2"/>
    <w:rsid w:val="00641679"/>
    <w:rsid w:val="00642F4F"/>
    <w:rsid w:val="006B593B"/>
    <w:rsid w:val="006C1255"/>
    <w:rsid w:val="006F006B"/>
    <w:rsid w:val="007A2C9C"/>
    <w:rsid w:val="007A5653"/>
    <w:rsid w:val="007A77F7"/>
    <w:rsid w:val="00826509"/>
    <w:rsid w:val="00830805"/>
    <w:rsid w:val="008337D9"/>
    <w:rsid w:val="00854FCD"/>
    <w:rsid w:val="00891CD7"/>
    <w:rsid w:val="008D6D4C"/>
    <w:rsid w:val="008F58FD"/>
    <w:rsid w:val="00933EC0"/>
    <w:rsid w:val="00974F24"/>
    <w:rsid w:val="009A130E"/>
    <w:rsid w:val="009A48B6"/>
    <w:rsid w:val="009A4FE7"/>
    <w:rsid w:val="009B08BF"/>
    <w:rsid w:val="00A043A8"/>
    <w:rsid w:val="00A26498"/>
    <w:rsid w:val="00A71631"/>
    <w:rsid w:val="00A86D03"/>
    <w:rsid w:val="00A97FA6"/>
    <w:rsid w:val="00AA0E9F"/>
    <w:rsid w:val="00B129D7"/>
    <w:rsid w:val="00B3404F"/>
    <w:rsid w:val="00B573F2"/>
    <w:rsid w:val="00B84D82"/>
    <w:rsid w:val="00B91318"/>
    <w:rsid w:val="00BB22C6"/>
    <w:rsid w:val="00BE5319"/>
    <w:rsid w:val="00BE7357"/>
    <w:rsid w:val="00C20F43"/>
    <w:rsid w:val="00C36408"/>
    <w:rsid w:val="00C41F6D"/>
    <w:rsid w:val="00C57DB8"/>
    <w:rsid w:val="00C64EBB"/>
    <w:rsid w:val="00DA659A"/>
    <w:rsid w:val="00DD376C"/>
    <w:rsid w:val="00E028C2"/>
    <w:rsid w:val="00E13020"/>
    <w:rsid w:val="00E269A7"/>
    <w:rsid w:val="00E4689B"/>
    <w:rsid w:val="00F529D2"/>
    <w:rsid w:val="00F54398"/>
    <w:rsid w:val="3EE4D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03AA6DD"/>
  <w15:chartTrackingRefBased/>
  <w15:docId w15:val="{9B552BDC-A2ED-431E-A6DB-1275BEC6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82"/>
    <w:rPr>
      <w:rFonts w:ascii="Times New Roman" w:hAnsi="Times New Roman" w:cs="Times New Roman"/>
      <w:color w:val="262626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B6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aps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F77"/>
    <w:pPr>
      <w:keepNext/>
      <w:keepLines/>
      <w:pBdr>
        <w:top w:val="single" w:sz="4" w:space="1" w:color="0067AC"/>
      </w:pBdr>
      <w:spacing w:before="240" w:after="240"/>
      <w:outlineLvl w:val="1"/>
    </w:pPr>
    <w:rPr>
      <w:rFonts w:asciiTheme="majorHAnsi" w:eastAsiaTheme="majorEastAsia" w:hAnsiTheme="majorHAnsi" w:cstheme="majorBidi"/>
      <w:b/>
      <w:spacing w:val="2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B65"/>
    <w:pPr>
      <w:keepNext/>
      <w:keepLines/>
      <w:numPr>
        <w:numId w:val="1"/>
      </w:numPr>
      <w:spacing w:before="40" w:after="0"/>
      <w:ind w:left="72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5B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A2649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26498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2C167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35B65"/>
    <w:rPr>
      <w:rFonts w:asciiTheme="majorHAnsi" w:eastAsiaTheme="majorEastAsia" w:hAnsiTheme="majorHAnsi" w:cstheme="majorBidi"/>
      <w:b/>
      <w:caps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7F77"/>
    <w:rPr>
      <w:rFonts w:asciiTheme="majorHAnsi" w:eastAsiaTheme="majorEastAsia" w:hAnsiTheme="majorHAnsi" w:cstheme="majorBidi"/>
      <w:b/>
      <w:spacing w:val="2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5B65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135B65"/>
    <w:pPr>
      <w:spacing w:after="0" w:line="240" w:lineRule="auto"/>
    </w:pPr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35B6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Emphasis">
    <w:name w:val="Emphasis"/>
    <w:basedOn w:val="DefaultParagraphFont"/>
    <w:uiPriority w:val="20"/>
    <w:qFormat/>
    <w:rsid w:val="00135B6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D67AA"/>
    <w:rPr>
      <w:bdr w:val="none" w:sz="0" w:space="0" w:color="auto"/>
      <w:shd w:val="clear" w:color="auto" w:fill="00FF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B65"/>
    <w:pP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B65"/>
    <w:rPr>
      <w:rFonts w:ascii="Arial" w:hAnsi="Arial"/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0779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7791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779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77914"/>
    <w:rPr>
      <w:rFonts w:ascii="Arial" w:hAnsi="Arial"/>
      <w:sz w:val="24"/>
    </w:rPr>
  </w:style>
  <w:style w:type="paragraph" w:customStyle="1" w:styleId="HeaderTab">
    <w:name w:val="Header Tab"/>
    <w:basedOn w:val="Header"/>
    <w:link w:val="HeaderTabChar"/>
    <w:qFormat/>
    <w:rsid w:val="00830805"/>
    <w:pPr>
      <w:pBdr>
        <w:bottom w:val="single" w:sz="12" w:space="1" w:color="0067AC"/>
      </w:pBdr>
      <w:tabs>
        <w:tab w:val="clear" w:pos="4680"/>
      </w:tabs>
      <w:spacing w:before="160" w:after="360"/>
    </w:pPr>
    <w:rPr>
      <w:rFonts w:asciiTheme="majorHAnsi" w:hAnsiTheme="majorHAnsi" w:cstheme="majorHAnsi"/>
      <w:b/>
      <w:caps/>
      <w:noProof/>
      <w:sz w:val="40"/>
      <w:szCs w:val="40"/>
    </w:rPr>
  </w:style>
  <w:style w:type="character" w:customStyle="1" w:styleId="HeaderTabChar">
    <w:name w:val="Header Tab Char"/>
    <w:basedOn w:val="HeaderChar"/>
    <w:link w:val="HeaderTab"/>
    <w:rsid w:val="00830805"/>
    <w:rPr>
      <w:rFonts w:asciiTheme="majorHAnsi" w:hAnsiTheme="majorHAnsi" w:cstheme="majorHAnsi"/>
      <w:b/>
      <w:caps/>
      <w:noProof/>
      <w:color w:val="262626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A716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D4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2"/>
    <w:rPr>
      <w:rFonts w:ascii="Times New Roman" w:hAnsi="Times New Roman" w:cs="Times New Roman"/>
      <w:color w:val="26262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2"/>
    <w:rPr>
      <w:rFonts w:ascii="Times New Roman" w:hAnsi="Times New Roman" w:cs="Times New Roman"/>
      <w:b/>
      <w:bCs/>
      <w:color w:val="262626"/>
      <w:sz w:val="20"/>
      <w:szCs w:val="20"/>
    </w:rPr>
  </w:style>
  <w:style w:type="table" w:styleId="TableGrid">
    <w:name w:val="Table Grid"/>
    <w:basedOn w:val="TableNormal"/>
    <w:uiPriority w:val="39"/>
    <w:rsid w:val="00B84D82"/>
    <w:pPr>
      <w:spacing w:after="0" w:line="240" w:lineRule="auto"/>
    </w:pPr>
    <w:rPr>
      <w:rFonts w:ascii="Times New Roman" w:hAnsi="Times New Roman" w:cs="Times New Roman"/>
      <w:color w:val="262626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84D8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B84D8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E6B9B"/>
    <w:pPr>
      <w:spacing w:after="0" w:line="240" w:lineRule="auto"/>
      <w:ind w:left="720"/>
      <w:contextualSpacing/>
    </w:pPr>
    <w:rPr>
      <w:rFonts w:eastAsia="Times New Roman"/>
      <w:color w:val="auto"/>
    </w:rPr>
  </w:style>
  <w:style w:type="paragraph" w:styleId="Revision">
    <w:name w:val="Revision"/>
    <w:hidden/>
    <w:uiPriority w:val="99"/>
    <w:semiHidden/>
    <w:rsid w:val="00482F9B"/>
    <w:pPr>
      <w:spacing w:after="0" w:line="240" w:lineRule="auto"/>
    </w:pPr>
    <w:rPr>
      <w:rFonts w:ascii="Times New Roman" w:hAnsi="Times New Roman" w:cs="Times New Roman"/>
      <w:color w:val="26262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m_IsOpenInNewTab xmlns="e4664c3e-f049-4574-bd7d-7499d2032cca">false</som_IsOpenInNewTab>
    <Page_x0020_Sort_x0020_Order xmlns="e4664c3e-f049-4574-bd7d-7499d2032cca" xsi:nil="true"/>
    <Document_x0020_Description xmlns="e4664c3e-f049-4574-bd7d-7499d2032cca" xsi:nil="true"/>
    <d8220c9e1229488886af245725860cbe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e539783f-af07-412f-87c2-3668423b470a</TermId>
        </TermInfo>
      </Terms>
    </d8220c9e1229488886af245725860cbe>
    <k34b14aa96934db7a6567dc83a5ee0ba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Invitation to Negotiate (ITN)</TermName>
          <TermId xmlns="http://schemas.microsoft.com/office/infopath/2007/PartnerControls">9587d30b-880a-4175-8af2-55ecdd3011e4</TermId>
        </TermInfo>
        <TermInfo xmlns="http://schemas.microsoft.com/office/infopath/2007/PartnerControls">
          <TermName xmlns="http://schemas.microsoft.com/office/infopath/2007/PartnerControls">Award Recommendation ＆ Evaluation Synopsis</TermName>
          <TermId xmlns="http://schemas.microsoft.com/office/infopath/2007/PartnerControls">9f14c26d-f158-4712-9507-9130052018e9</TermId>
        </TermInfo>
        <TermInfo xmlns="http://schemas.microsoft.com/office/infopath/2007/PartnerControls">
          <TermName xmlns="http://schemas.microsoft.com/office/infopath/2007/PartnerControls">Award</TermName>
          <TermId xmlns="http://schemas.microsoft.com/office/infopath/2007/PartnerControls">e5f6eb56-8d0d-4750-9ee4-0f63cd0ca1b0</TermId>
        </TermInfo>
      </Terms>
    </k34b14aa96934db7a6567dc83a5ee0ba>
    <Fillable xmlns="e4664c3e-f049-4574-bd7d-7499d2032cca" xsi:nil="true"/>
    <TaxCatchAll xmlns="e4664c3e-f049-4574-bd7d-7499d2032cca">
      <Value>90</Value>
      <Value>12</Value>
      <Value>24</Value>
      <Value>117</Value>
      <Value>3</Value>
    </TaxCatchAll>
    <Document_x0020_Number xmlns="e4664c3e-f049-4574-bd7d-7499d2032cca" xsi:nil="true"/>
    <kfc2e9f34b584e09a4dfad45193fd617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Employees</TermName>
          <TermId xmlns="http://schemas.microsoft.com/office/infopath/2007/PartnerControls">6bc884fa-9dfb-49ce-af07-824c4a8a1ac0</TermId>
        </TermInfo>
      </Terms>
    </kfc2e9f34b584e09a4dfad45193fd617>
  </documentManagement>
</p:properties>
</file>

<file path=customXml/item2.xml><?xml version="1.0" encoding="utf-8"?>
<?mso-contentType ?>
<SharedContentType xmlns="Microsoft.SharePoint.Taxonomy.ContentTypeSync" SourceId="c0d83692-8000-456c-81e0-753272234f01" ContentTypeId="0x010100D80FC88A48A3EA4889EF01C87FCFD42A" PreviousValue="false" LastSyncTimeStamp="2023-06-14T19:10:52.873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OM Document" ma:contentTypeID="0x010100D80FC88A48A3EA4889EF01C87FCFD42A00EC0A3F4097A3B44CA5ADC02596C11BD0" ma:contentTypeVersion="42" ma:contentTypeDescription="" ma:contentTypeScope="" ma:versionID="5941e95a52955fd0f04feb231a97a924">
  <xsd:schema xmlns:xsd="http://www.w3.org/2001/XMLSchema" xmlns:xs="http://www.w3.org/2001/XMLSchema" xmlns:p="http://schemas.microsoft.com/office/2006/metadata/properties" xmlns:ns2="e4664c3e-f049-4574-bd7d-7499d2032cca" targetNamespace="http://schemas.microsoft.com/office/2006/metadata/properties" ma:root="true" ma:fieldsID="33ca59d77a885fca0eedafe06bc1683a" ns2:_=""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Document_x0020_Number" minOccurs="0"/>
                <xsd:element ref="ns2:Document_x0020_Description" minOccurs="0"/>
                <xsd:element ref="ns2:Page_x0020_Sort_x0020_Order" minOccurs="0"/>
                <xsd:element ref="ns2:Fillable" minOccurs="0"/>
                <xsd:element ref="ns2:som_IsOpenInNewTab" minOccurs="0"/>
                <xsd:element ref="ns2:kfc2e9f34b584e09a4dfad45193fd617" minOccurs="0"/>
                <xsd:element ref="ns2:k34b14aa96934db7a6567dc83a5ee0ba" minOccurs="0"/>
                <xsd:element ref="ns2:d8220c9e1229488886af245725860cbe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2" nillable="true" ma:displayName="Document Number" ma:internalName="Document_x0020_Number">
      <xsd:simpleType>
        <xsd:restriction base="dms:Text">
          <xsd:maxLength value="255"/>
        </xsd:restriction>
      </xsd:simpleType>
    </xsd:element>
    <xsd:element name="Document_x0020_Description" ma:index="3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Page_x0020_Sort_x0020_Order" ma:index="6" nillable="true" ma:displayName="Page Sort Order" ma:internalName="Page_x0020_Sort_x0020_Order">
      <xsd:simpleType>
        <xsd:restriction base="dms:Number"/>
      </xsd:simpleType>
    </xsd:element>
    <xsd:element name="Fillable" ma:index="7" nillable="true" ma:displayName="Fillable" ma:format="Dropdown" ma:internalName="Fillable">
      <xsd:simpleType>
        <xsd:restriction base="dms:Choice">
          <xsd:enumeration value="Nonfillable"/>
          <xsd:enumeration value="Fillable"/>
        </xsd:restriction>
      </xsd:simpleType>
    </xsd:element>
    <xsd:element name="som_IsOpenInNewTab" ma:index="8" nillable="true" ma:displayName="Open Link In New Tab" ma:default="0" ma:internalName="som_IsOpenInNewTab">
      <xsd:simpleType>
        <xsd:restriction base="dms:Boolean"/>
      </xsd:simpleType>
    </xsd:element>
    <xsd:element name="kfc2e9f34b584e09a4dfad45193fd617" ma:index="10" nillable="true" ma:taxonomy="true" ma:internalName="kfc2e9f34b584e09a4dfad45193fd617" ma:taxonomyFieldName="Content_x0020_Audience" ma:displayName="Content Audience" ma:default="3;#All Employees|6bc884fa-9dfb-49ce-af07-824c4a8a1ac0" ma:fieldId="{4fc2e9f3-4b58-4e09-a4df-ad45193fd617}" ma:sspId="c0d83692-8000-456c-81e0-753272234f01" ma:termSetId="1b6069bf-5926-44b7-98d6-cc0bec659d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4b14aa96934db7a6567dc83a5ee0ba" ma:index="11" nillable="true" ma:taxonomy="true" ma:internalName="k34b14aa96934db7a6567dc83a5ee0ba" ma:taxonomyFieldName="Topic_x0020_Keyword" ma:displayName="Topic Keyword" ma:default="" ma:fieldId="{434b14aa-9693-4db7-a656-7dc83a5ee0ba}" ma:taxonomyMulti="true" ma:sspId="c0d83692-8000-456c-81e0-753272234f01" ma:termSetId="327cd3ef-44fa-40bc-92ad-acd4fab1e8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220c9e1229488886af245725860cbe" ma:index="13" nillable="true" ma:taxonomy="true" ma:internalName="d8220c9e1229488886af245725860cbe" ma:taxonomyFieldName="Type_x0020_Keyword" ma:displayName="Type Keyword" ma:default="" ma:fieldId="{d8220c9e-1229-4888-86af-245725860cbe}" ma:taxonomyMulti="true" ma:sspId="c0d83692-8000-456c-81e0-753272234f01" ma:termSetId="18693f18-3c31-473d-87dc-6b6a3b715b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2b609449-bbf6-4628-980b-83d6a9c32dd5}" ma:internalName="TaxCatchAll" ma:showField="CatchAllData" ma:web="a9992b00-4841-4788-a638-d60721c68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2b609449-bbf6-4628-980b-83d6a9c32dd5}" ma:internalName="TaxCatchAllLabel" ma:readOnly="true" ma:showField="CatchAllDataLabel" ma:web="a9992b00-4841-4788-a638-d60721c68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9DD1B-660A-4057-BCFE-0E47E8317B76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sharepoint/v4"/>
    <ds:schemaRef ds:uri="9ed67b44-2341-46c6-89fe-64ad3138a58f"/>
    <ds:schemaRef ds:uri="http://www.w3.org/XML/1998/namespace"/>
    <ds:schemaRef ds:uri="e4664c3e-f049-4574-bd7d-7499d2032cca"/>
  </ds:schemaRefs>
</ds:datastoreItem>
</file>

<file path=customXml/itemProps2.xml><?xml version="1.0" encoding="utf-8"?>
<ds:datastoreItem xmlns:ds="http://schemas.openxmlformats.org/officeDocument/2006/customXml" ds:itemID="{0182D51B-C8AA-4BEF-8CAF-9518B6D2650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376E76F-432D-40B2-81FD-00C7224A14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9661FF-DF1A-46F6-BD41-DC9ABCDEE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18C30C-AB16-4FB7-9A54-3978DD9852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DTMB-Procurement@michigan.gov</dc:creator>
  <cp:keywords>Award Recommendation; IT Purchases: Invitation to Negotiate (ITN)</cp:keywords>
  <dc:description/>
  <cp:lastModifiedBy>ONeil, Erin (MDOC)</cp:lastModifiedBy>
  <cp:revision>6</cp:revision>
  <dcterms:created xsi:type="dcterms:W3CDTF">2026-05-21T13:01:00Z</dcterms:created>
  <dcterms:modified xsi:type="dcterms:W3CDTF">2026-05-26T13:23:00Z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2021-09-20T17:32:08Z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230e80e9-be3b-4773-8828-6366326148f5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0x010100D80FC88A48A3EA4889EF01C87FCFD42A00EC0A3F4097A3B44CA5ADC02596C11BD0</vt:lpwstr>
  </property>
  <property fmtid="{D5CDD505-2E9C-101B-9397-08002B2CF9AE}" pid="10" name="Order">
    <vt:r8>53000</vt:r8>
  </property>
  <property fmtid="{D5CDD505-2E9C-101B-9397-08002B2CF9AE}" pid="11" name="xd_ProgID">
    <vt:lpwstr/>
  </property>
  <property fmtid="{D5CDD505-2E9C-101B-9397-08002B2CF9AE}" pid="12" name="som_IsOpenInNewTab">
    <vt:bool>false</vt:bool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kfc2e9f34b584e09a4dfad45193fd617">
    <vt:lpwstr>All Employees|6bc884fa-9dfb-49ce-af07-824c4a8a1ac0</vt:lpwstr>
  </property>
  <property fmtid="{D5CDD505-2E9C-101B-9397-08002B2CF9AE}" pid="16" name="_ExtendedDescription">
    <vt:lpwstr/>
  </property>
  <property fmtid="{D5CDD505-2E9C-101B-9397-08002B2CF9AE}" pid="17" name="Topic Keyword">
    <vt:lpwstr>12;#Invitation to Negotiate (ITN)|9587d30b-880a-4175-8af2-55ecdd3011e4;#24;#Award Recommendation ＆ Evaluation Synopsis|9f14c26d-f158-4712-9507-9130052018e9;#117;#Award|e5f6eb56-8d0d-4750-9ee4-0f63cd0ca1b0</vt:lpwstr>
  </property>
  <property fmtid="{D5CDD505-2E9C-101B-9397-08002B2CF9AE}" pid="18" name="Type Keyword">
    <vt:lpwstr>90;#Template|e539783f-af07-412f-87c2-3668423b470a</vt:lpwstr>
  </property>
  <property fmtid="{D5CDD505-2E9C-101B-9397-08002B2CF9AE}" pid="19" name="TriggerFlowInfo">
    <vt:lpwstr/>
  </property>
  <property fmtid="{D5CDD505-2E9C-101B-9397-08002B2CF9AE}" pid="20" name="d8220c9e1229488886af245725860cbe">
    <vt:lpwstr>Template|e539783f-af07-412f-87c2-3668423b470a</vt:lpwstr>
  </property>
  <property fmtid="{D5CDD505-2E9C-101B-9397-08002B2CF9AE}" pid="21" name="k34b14aa96934db7a6567dc83a5ee0ba">
    <vt:lpwstr>Invitation to Negotiate (ITN)|9587d30b-880a-4175-8af2-55ecdd3011e4;Award Recommendation ＆ Evaluation Synopsis|9f14c26d-f158-4712-9507-9130052018e9;Award|e5f6eb56-8d0d-4750-9ee4-0f63cd0ca1b0</vt:lpwstr>
  </property>
  <property fmtid="{D5CDD505-2E9C-101B-9397-08002B2CF9AE}" pid="22" name="URL">
    <vt:lpwstr/>
  </property>
  <property fmtid="{D5CDD505-2E9C-101B-9397-08002B2CF9AE}" pid="23" name="xd_Signature">
    <vt:bool>false</vt:bool>
  </property>
  <property fmtid="{D5CDD505-2E9C-101B-9397-08002B2CF9AE}" pid="24" name="Content Audience">
    <vt:lpwstr>3;#All Employees|6bc884fa-9dfb-49ce-af07-824c4a8a1ac0</vt:lpwstr>
  </property>
  <property fmtid="{D5CDD505-2E9C-101B-9397-08002B2CF9AE}" pid="25" name="TaxCatchAll">
    <vt:lpwstr>90;#Template|e539783f-af07-412f-87c2-3668423b470a;#12;#Invitation to Negotiate (ITN)|9587d30b-880a-4175-8af2-55ecdd3011e4;#24;#Award Recommendation ＆ Evaluation Synopsis|9f14c26d-f158-4712-9507-9130052018e9;#117;#Award|e5f6eb56-8d0d-4750-9ee4-0f63cd0ca1b0;#3;#All Employees|6bc884fa-9dfb-49ce-af07-824c4a8a1ac0</vt:lpwstr>
  </property>
  <property fmtid="{D5CDD505-2E9C-101B-9397-08002B2CF9AE}" pid="26" name="Fillable">
    <vt:lpwstr/>
  </property>
  <property fmtid="{D5CDD505-2E9C-101B-9397-08002B2CF9AE}" pid="27" name="_SourceUrl">
    <vt:lpwstr/>
  </property>
  <property fmtid="{D5CDD505-2E9C-101B-9397-08002B2CF9AE}" pid="28" name="_SharedFileIndex">
    <vt:lpwstr/>
  </property>
  <property fmtid="{D5CDD505-2E9C-101B-9397-08002B2CF9AE}" pid="29" name="Document Number">
    <vt:lpwstr/>
  </property>
  <property fmtid="{D5CDD505-2E9C-101B-9397-08002B2CF9AE}" pid="30" name="Document Description">
    <vt:lpwstr/>
  </property>
</Properties>
</file>